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5AFEA" w14:textId="77777777" w:rsidR="005F192C" w:rsidRDefault="0044415A">
      <w:pPr>
        <w:spacing w:after="40"/>
        <w:jc w:val="center"/>
      </w:pPr>
      <w:r>
        <w:rPr>
          <w:b/>
          <w:bCs/>
          <w:color w:val="1F4E3A"/>
          <w:sz w:val="34"/>
          <w:szCs w:val="34"/>
        </w:rPr>
        <w:t>NEPAL ADVANCED VISION IN INNOVATION AND NANO SCIENCE CENTER</w:t>
      </w:r>
    </w:p>
    <w:p w14:paraId="180A814C" w14:textId="77777777" w:rsidR="005F192C" w:rsidRDefault="0044415A">
      <w:pPr>
        <w:spacing w:after="40"/>
        <w:jc w:val="center"/>
      </w:pPr>
      <w:proofErr w:type="spellStart"/>
      <w:r>
        <w:rPr>
          <w:i/>
          <w:iCs/>
          <w:color w:val="8A6D3B"/>
        </w:rPr>
        <w:t>नेपाल</w:t>
      </w:r>
      <w:proofErr w:type="spellEnd"/>
      <w:r>
        <w:rPr>
          <w:i/>
          <w:iCs/>
          <w:color w:val="8A6D3B"/>
        </w:rPr>
        <w:t xml:space="preserve"> </w:t>
      </w:r>
      <w:proofErr w:type="spellStart"/>
      <w:r>
        <w:rPr>
          <w:i/>
          <w:iCs/>
          <w:color w:val="8A6D3B"/>
        </w:rPr>
        <w:t>एडभान्स्ड</w:t>
      </w:r>
      <w:proofErr w:type="spellEnd"/>
      <w:r>
        <w:rPr>
          <w:i/>
          <w:iCs/>
          <w:color w:val="8A6D3B"/>
        </w:rPr>
        <w:t xml:space="preserve"> </w:t>
      </w:r>
      <w:proofErr w:type="spellStart"/>
      <w:r>
        <w:rPr>
          <w:i/>
          <w:iCs/>
          <w:color w:val="8A6D3B"/>
        </w:rPr>
        <w:t>भिजन</w:t>
      </w:r>
      <w:proofErr w:type="spellEnd"/>
      <w:r>
        <w:rPr>
          <w:i/>
          <w:iCs/>
          <w:color w:val="8A6D3B"/>
        </w:rPr>
        <w:t xml:space="preserve"> </w:t>
      </w:r>
      <w:proofErr w:type="spellStart"/>
      <w:r>
        <w:rPr>
          <w:i/>
          <w:iCs/>
          <w:color w:val="8A6D3B"/>
        </w:rPr>
        <w:t>इन</w:t>
      </w:r>
      <w:proofErr w:type="spellEnd"/>
      <w:r>
        <w:rPr>
          <w:i/>
          <w:iCs/>
          <w:color w:val="8A6D3B"/>
        </w:rPr>
        <w:t xml:space="preserve"> </w:t>
      </w:r>
      <w:proofErr w:type="spellStart"/>
      <w:r>
        <w:rPr>
          <w:i/>
          <w:iCs/>
          <w:color w:val="8A6D3B"/>
        </w:rPr>
        <w:t>इनोभेसन</w:t>
      </w:r>
      <w:proofErr w:type="spellEnd"/>
      <w:r>
        <w:rPr>
          <w:i/>
          <w:iCs/>
          <w:color w:val="8A6D3B"/>
        </w:rPr>
        <w:t xml:space="preserve"> </w:t>
      </w:r>
      <w:proofErr w:type="spellStart"/>
      <w:r>
        <w:rPr>
          <w:i/>
          <w:iCs/>
          <w:color w:val="8A6D3B"/>
        </w:rPr>
        <w:t>एण्ड</w:t>
      </w:r>
      <w:proofErr w:type="spellEnd"/>
      <w:r>
        <w:rPr>
          <w:i/>
          <w:iCs/>
          <w:color w:val="8A6D3B"/>
        </w:rPr>
        <w:t xml:space="preserve"> </w:t>
      </w:r>
      <w:proofErr w:type="spellStart"/>
      <w:r>
        <w:rPr>
          <w:i/>
          <w:iCs/>
          <w:color w:val="8A6D3B"/>
        </w:rPr>
        <w:t>नानो</w:t>
      </w:r>
      <w:proofErr w:type="spellEnd"/>
      <w:r>
        <w:rPr>
          <w:i/>
          <w:iCs/>
          <w:color w:val="8A6D3B"/>
        </w:rPr>
        <w:t xml:space="preserve"> </w:t>
      </w:r>
      <w:proofErr w:type="spellStart"/>
      <w:r>
        <w:rPr>
          <w:i/>
          <w:iCs/>
          <w:color w:val="8A6D3B"/>
        </w:rPr>
        <w:t>साइन्स</w:t>
      </w:r>
      <w:proofErr w:type="spellEnd"/>
      <w:r>
        <w:rPr>
          <w:i/>
          <w:iCs/>
          <w:color w:val="8A6D3B"/>
        </w:rPr>
        <w:t xml:space="preserve"> </w:t>
      </w:r>
      <w:proofErr w:type="spellStart"/>
      <w:r>
        <w:rPr>
          <w:i/>
          <w:iCs/>
          <w:color w:val="8A6D3B"/>
        </w:rPr>
        <w:t>सेन्टर</w:t>
      </w:r>
      <w:proofErr w:type="spellEnd"/>
    </w:p>
    <w:p w14:paraId="660EF98E" w14:textId="77777777" w:rsidR="005F192C" w:rsidRDefault="0044415A">
      <w:pPr>
        <w:spacing w:after="40"/>
        <w:jc w:val="center"/>
      </w:pPr>
      <w:r>
        <w:rPr>
          <w:color w:val="555555"/>
        </w:rPr>
        <w:t>A Non-Profit Distributing Company Registered under the Companies Act, 2063 | Kathmandu, Nepal</w:t>
      </w:r>
    </w:p>
    <w:p w14:paraId="67889839" w14:textId="77777777" w:rsidR="005F192C" w:rsidRDefault="0044415A">
      <w:pPr>
        <w:pBdr>
          <w:bottom w:val="single" w:sz="12" w:space="6" w:color="1F4E3A"/>
        </w:pBdr>
        <w:spacing w:after="200"/>
        <w:jc w:val="center"/>
      </w:pPr>
      <w:r>
        <w:rPr>
          <w:b/>
          <w:bCs/>
          <w:color w:val="8A6D3B"/>
          <w:sz w:val="22"/>
          <w:szCs w:val="22"/>
        </w:rPr>
        <w:t>Company Profile — Sustainable Materials, Vernacular Heritage &amp; Inclusive Infrastructure</w:t>
      </w:r>
    </w:p>
    <w:p w14:paraId="7E44A22A" w14:textId="77777777" w:rsidR="005F192C" w:rsidRDefault="0044415A">
      <w:pPr>
        <w:pStyle w:val="Heading1"/>
        <w:pBdr>
          <w:bottom w:val="single" w:sz="8" w:space="4" w:color="1F4E3A"/>
        </w:pBdr>
        <w:spacing w:before="320" w:after="140"/>
      </w:pPr>
      <w:r>
        <w:rPr>
          <w:b/>
          <w:bCs/>
          <w:color w:val="1F4E3A"/>
          <w:sz w:val="28"/>
          <w:szCs w:val="28"/>
        </w:rPr>
        <w:t>1. Who We Are</w:t>
      </w:r>
    </w:p>
    <w:p w14:paraId="2A0E0ED5" w14:textId="77777777" w:rsidR="005F192C" w:rsidRDefault="0044415A">
      <w:pPr>
        <w:spacing w:after="140" w:line="300" w:lineRule="auto"/>
        <w:jc w:val="both"/>
      </w:pPr>
      <w:r>
        <w:rPr>
          <w:sz w:val="22"/>
          <w:szCs w:val="22"/>
        </w:rPr>
        <w:t xml:space="preserve">Nepal Advanced Vision in Innovation and Nano Science Center (“NAVI Center”) is a non-profit distributing company established under the Companies Act, 2063 of Nepal, with its registered office in Kathmandu Metropolitan City, Ward No. 31. Founded by a group of committed professionals under the initiative “Youth Democratic Alliance,” the organization operates on a not-for-profit, service-oriented basis: no dividend, bonus, or profit is ever distributed to members, directors, or staff, and all income generated </w:t>
      </w:r>
      <w:r>
        <w:rPr>
          <w:sz w:val="22"/>
          <w:szCs w:val="22"/>
        </w:rPr>
        <w:t>is reinvested toward the organization’s stated public-interest objectives.</w:t>
      </w:r>
    </w:p>
    <w:p w14:paraId="785BD8AB" w14:textId="77777777" w:rsidR="005F192C" w:rsidRDefault="0044415A">
      <w:pPr>
        <w:spacing w:after="140" w:line="300" w:lineRule="auto"/>
        <w:jc w:val="both"/>
      </w:pPr>
      <w:r>
        <w:rPr>
          <w:sz w:val="22"/>
          <w:szCs w:val="22"/>
        </w:rPr>
        <w:t>While the company's memorandum of association grants it a broad public-policy and social-welfare mandate — spanning research, education, health, disaster response, gender equality, cultural heritage, and environmental sustainability — its active technical programs are anchored in one connecting thread: rediscovering, testing, and modernizing Nepal’s own vernacular building materials and construction techniques so that they can be safely and confidently used again, at scale, to build resilient, affordable, a</w:t>
      </w:r>
      <w:r>
        <w:rPr>
          <w:sz w:val="22"/>
          <w:szCs w:val="22"/>
        </w:rPr>
        <w:t>nd culturally rooted homes and public buildings across Nepal’s diverse ecological regions.</w:t>
      </w:r>
    </w:p>
    <w:p w14:paraId="76940969" w14:textId="77777777" w:rsidR="005F192C" w:rsidRDefault="0044415A">
      <w:pPr>
        <w:pStyle w:val="Heading1"/>
        <w:pBdr>
          <w:bottom w:val="single" w:sz="8" w:space="4" w:color="1F4E3A"/>
        </w:pBdr>
        <w:spacing w:before="320" w:after="140"/>
      </w:pPr>
      <w:r>
        <w:rPr>
          <w:b/>
          <w:bCs/>
          <w:color w:val="1F4E3A"/>
          <w:sz w:val="28"/>
          <w:szCs w:val="28"/>
        </w:rPr>
        <w:t>2. Vision, Mission &amp; Core Values</w:t>
      </w:r>
    </w:p>
    <w:p w14:paraId="2839F390" w14:textId="77777777" w:rsidR="005F192C" w:rsidRDefault="0044415A">
      <w:pPr>
        <w:pStyle w:val="Heading2"/>
        <w:spacing w:before="220" w:after="100"/>
      </w:pPr>
      <w:r>
        <w:rPr>
          <w:b/>
          <w:bCs/>
          <w:color w:val="8A6D3B"/>
          <w:sz w:val="24"/>
          <w:szCs w:val="24"/>
        </w:rPr>
        <w:t>Vision</w:t>
      </w:r>
    </w:p>
    <w:p w14:paraId="52419CE0" w14:textId="77777777" w:rsidR="005F192C" w:rsidRDefault="0044415A">
      <w:pPr>
        <w:spacing w:after="140" w:line="300" w:lineRule="auto"/>
        <w:jc w:val="both"/>
      </w:pPr>
      <w:r>
        <w:rPr>
          <w:sz w:val="22"/>
          <w:szCs w:val="22"/>
        </w:rPr>
        <w:t xml:space="preserve">A Nepal where every region — from the </w:t>
      </w:r>
      <w:proofErr w:type="spellStart"/>
      <w:r>
        <w:rPr>
          <w:sz w:val="22"/>
          <w:szCs w:val="22"/>
        </w:rPr>
        <w:t>Terai</w:t>
      </w:r>
      <w:proofErr w:type="spellEnd"/>
      <w:r>
        <w:rPr>
          <w:sz w:val="22"/>
          <w:szCs w:val="22"/>
        </w:rPr>
        <w:t xml:space="preserve"> plains to the high Himalaya — builds with materials and techniques suited to its own climate, culture, and economy, restoring confidence in local knowledge systems while meeting modern standards of safety and comfort.</w:t>
      </w:r>
    </w:p>
    <w:p w14:paraId="3A2C14BE" w14:textId="77777777" w:rsidR="005F192C" w:rsidRDefault="0044415A">
      <w:pPr>
        <w:pStyle w:val="Heading2"/>
        <w:spacing w:before="220" w:after="100"/>
      </w:pPr>
      <w:r>
        <w:rPr>
          <w:b/>
          <w:bCs/>
          <w:color w:val="8A6D3B"/>
          <w:sz w:val="24"/>
          <w:szCs w:val="24"/>
        </w:rPr>
        <w:t>Mission</w:t>
      </w:r>
    </w:p>
    <w:p w14:paraId="48248EEB" w14:textId="77777777" w:rsidR="005F192C" w:rsidRDefault="0044415A">
      <w:pPr>
        <w:spacing w:after="140" w:line="300" w:lineRule="auto"/>
        <w:jc w:val="both"/>
      </w:pPr>
      <w:r>
        <w:rPr>
          <w:sz w:val="22"/>
          <w:szCs w:val="22"/>
        </w:rPr>
        <w:t>To research, document, test, and disseminate sustainable, locally sourced building materials and vernacular construction techniques; to convert this research into practical, low-cost solutions for housing and community infrastructure; and to use this work as a platform for skills training, livelihood generation, and inclusive, gender-responsive community development.</w:t>
      </w:r>
    </w:p>
    <w:p w14:paraId="3D8BBBAA" w14:textId="77777777" w:rsidR="005F192C" w:rsidRDefault="0044415A">
      <w:pPr>
        <w:pStyle w:val="Heading2"/>
        <w:spacing w:before="220" w:after="100"/>
      </w:pPr>
      <w:r>
        <w:rPr>
          <w:b/>
          <w:bCs/>
          <w:color w:val="8A6D3B"/>
          <w:sz w:val="24"/>
          <w:szCs w:val="24"/>
        </w:rPr>
        <w:t>Core Values</w:t>
      </w:r>
    </w:p>
    <w:p w14:paraId="34AB50FC" w14:textId="77777777" w:rsidR="005F192C" w:rsidRDefault="0044415A">
      <w:pPr>
        <w:pStyle w:val="ListParagraph"/>
        <w:numPr>
          <w:ilvl w:val="0"/>
          <w:numId w:val="2"/>
        </w:numPr>
        <w:spacing w:after="110" w:line="290" w:lineRule="auto"/>
      </w:pPr>
      <w:r>
        <w:rPr>
          <w:b/>
          <w:bCs/>
          <w:color w:val="1F4E3A"/>
          <w:sz w:val="22"/>
          <w:szCs w:val="22"/>
        </w:rPr>
        <w:t xml:space="preserve">Local-first innovation: </w:t>
      </w:r>
      <w:r>
        <w:rPr>
          <w:sz w:val="22"/>
          <w:szCs w:val="22"/>
        </w:rPr>
        <w:t>prioritizing indigenous materials (lime, mud, stone, bamboo) and traditional craft knowledge over imported substitutes wherever technically sound.</w:t>
      </w:r>
    </w:p>
    <w:p w14:paraId="2B4EA06D" w14:textId="77777777" w:rsidR="005F192C" w:rsidRDefault="0044415A">
      <w:pPr>
        <w:pStyle w:val="ListParagraph"/>
        <w:numPr>
          <w:ilvl w:val="0"/>
          <w:numId w:val="2"/>
        </w:numPr>
        <w:spacing w:after="110" w:line="290" w:lineRule="auto"/>
      </w:pPr>
      <w:r>
        <w:rPr>
          <w:b/>
          <w:bCs/>
          <w:color w:val="1F4E3A"/>
          <w:sz w:val="22"/>
          <w:szCs w:val="22"/>
        </w:rPr>
        <w:t xml:space="preserve">Evidence before advocacy: </w:t>
      </w:r>
      <w:r>
        <w:rPr>
          <w:sz w:val="22"/>
          <w:szCs w:val="22"/>
        </w:rPr>
        <w:t>every material or technique promoted publicly is first validated through laboratory testing and field pilots.</w:t>
      </w:r>
    </w:p>
    <w:p w14:paraId="026D3704" w14:textId="77777777" w:rsidR="005F192C" w:rsidRDefault="0044415A">
      <w:pPr>
        <w:pStyle w:val="ListParagraph"/>
        <w:numPr>
          <w:ilvl w:val="0"/>
          <w:numId w:val="2"/>
        </w:numPr>
        <w:spacing w:after="110" w:line="290" w:lineRule="auto"/>
      </w:pPr>
      <w:r>
        <w:rPr>
          <w:b/>
          <w:bCs/>
          <w:color w:val="1F4E3A"/>
          <w:sz w:val="22"/>
          <w:szCs w:val="22"/>
        </w:rPr>
        <w:t xml:space="preserve">Inclusion by design: </w:t>
      </w:r>
      <w:r>
        <w:rPr>
          <w:sz w:val="22"/>
          <w:szCs w:val="22"/>
        </w:rPr>
        <w:t>infrastructure and livelihood programs are deliberately structured to be gender-friendly and accessible to marginalized communities.</w:t>
      </w:r>
    </w:p>
    <w:p w14:paraId="32E43785" w14:textId="77777777" w:rsidR="005F192C" w:rsidRDefault="0044415A">
      <w:pPr>
        <w:pStyle w:val="ListParagraph"/>
        <w:numPr>
          <w:ilvl w:val="0"/>
          <w:numId w:val="2"/>
        </w:numPr>
        <w:spacing w:after="110" w:line="290" w:lineRule="auto"/>
      </w:pPr>
      <w:r>
        <w:rPr>
          <w:b/>
          <w:bCs/>
          <w:color w:val="1F4E3A"/>
          <w:sz w:val="22"/>
          <w:szCs w:val="22"/>
        </w:rPr>
        <w:t xml:space="preserve">Non-profit accountability: </w:t>
      </w:r>
      <w:r>
        <w:rPr>
          <w:sz w:val="22"/>
          <w:szCs w:val="22"/>
        </w:rPr>
        <w:t>all surplus is reinvested in research, training, and community projects, never distributed as profit.</w:t>
      </w:r>
    </w:p>
    <w:p w14:paraId="7832C374" w14:textId="77777777" w:rsidR="005F192C" w:rsidRDefault="0044415A">
      <w:pPr>
        <w:pStyle w:val="Heading1"/>
        <w:pBdr>
          <w:bottom w:val="single" w:sz="8" w:space="4" w:color="1F4E3A"/>
        </w:pBdr>
        <w:spacing w:before="320" w:after="140"/>
      </w:pPr>
      <w:r>
        <w:rPr>
          <w:b/>
          <w:bCs/>
          <w:color w:val="1F4E3A"/>
          <w:sz w:val="28"/>
          <w:szCs w:val="28"/>
        </w:rPr>
        <w:t>3. Governance, Patrons &amp; Technical Advisory Network</w:t>
      </w:r>
    </w:p>
    <w:p w14:paraId="4E813DB0" w14:textId="77777777" w:rsidR="005F192C" w:rsidRDefault="0044415A">
      <w:pPr>
        <w:spacing w:after="140" w:line="300" w:lineRule="auto"/>
        <w:jc w:val="both"/>
      </w:pPr>
      <w:r>
        <w:rPr>
          <w:sz w:val="22"/>
          <w:szCs w:val="22"/>
        </w:rPr>
        <w:t>The Center's credibility and technical direction are underpinned by a broad, multi-disciplinary network of patrons, advisors, and collaborating professionals drawn from government, academia, and international research institutions. This network is deliberately structured to bring together the regulatory, technical, and scientific perspectives needed to move locally rooted construction research from pilot to policy-relevant practice.</w:t>
      </w:r>
    </w:p>
    <w:p w14:paraId="4F286F37" w14:textId="77777777" w:rsidR="005F192C" w:rsidRDefault="0044415A">
      <w:pPr>
        <w:pStyle w:val="ListParagraph"/>
        <w:numPr>
          <w:ilvl w:val="0"/>
          <w:numId w:val="2"/>
        </w:numPr>
        <w:spacing w:after="110" w:line="290" w:lineRule="auto"/>
      </w:pPr>
      <w:r>
        <w:rPr>
          <w:b/>
          <w:bCs/>
          <w:color w:val="1F4E3A"/>
          <w:sz w:val="22"/>
          <w:szCs w:val="22"/>
        </w:rPr>
        <w:t xml:space="preserve">Government patrons: </w:t>
      </w:r>
      <w:r>
        <w:rPr>
          <w:sz w:val="22"/>
          <w:szCs w:val="22"/>
        </w:rPr>
        <w:t>senior first-class officers of the Government of Nepal, including several Directors General of national departments, serve as patrons of the Center, helping align its research agenda with national housing, disaster-management, and heritage-conservation priorities.</w:t>
      </w:r>
    </w:p>
    <w:p w14:paraId="5D3F687F" w14:textId="77777777" w:rsidR="005F192C" w:rsidRDefault="0044415A">
      <w:pPr>
        <w:pStyle w:val="ListParagraph"/>
        <w:numPr>
          <w:ilvl w:val="0"/>
          <w:numId w:val="2"/>
        </w:numPr>
        <w:spacing w:after="110" w:line="290" w:lineRule="auto"/>
      </w:pPr>
      <w:r>
        <w:rPr>
          <w:b/>
          <w:bCs/>
          <w:color w:val="1F4E3A"/>
          <w:sz w:val="22"/>
          <w:szCs w:val="22"/>
        </w:rPr>
        <w:t xml:space="preserve">Academia — </w:t>
      </w:r>
      <w:proofErr w:type="spellStart"/>
      <w:r>
        <w:rPr>
          <w:b/>
          <w:bCs/>
          <w:color w:val="1F4E3A"/>
          <w:sz w:val="22"/>
          <w:szCs w:val="22"/>
        </w:rPr>
        <w:t>Tribhuvan</w:t>
      </w:r>
      <w:proofErr w:type="spellEnd"/>
      <w:r>
        <w:rPr>
          <w:b/>
          <w:bCs/>
          <w:color w:val="1F4E3A"/>
          <w:sz w:val="22"/>
          <w:szCs w:val="22"/>
        </w:rPr>
        <w:t xml:space="preserve"> University &amp; Institute of Engineering: </w:t>
      </w:r>
      <w:r>
        <w:rPr>
          <w:sz w:val="22"/>
          <w:szCs w:val="22"/>
        </w:rPr>
        <w:t xml:space="preserve">professors and faculty members from </w:t>
      </w:r>
      <w:proofErr w:type="spellStart"/>
      <w:r>
        <w:rPr>
          <w:sz w:val="22"/>
          <w:szCs w:val="22"/>
        </w:rPr>
        <w:t>Tribhuvan</w:t>
      </w:r>
      <w:proofErr w:type="spellEnd"/>
      <w:r>
        <w:rPr>
          <w:sz w:val="22"/>
          <w:szCs w:val="22"/>
        </w:rPr>
        <w:t xml:space="preserve"> University and its Institute of Engineering contribute technical supervision and research guidance across the Center's structural, materials, and architectural studies.</w:t>
      </w:r>
    </w:p>
    <w:p w14:paraId="6498AFF8" w14:textId="77777777" w:rsidR="005F192C" w:rsidRDefault="0044415A">
      <w:pPr>
        <w:pStyle w:val="ListParagraph"/>
        <w:numPr>
          <w:ilvl w:val="0"/>
          <w:numId w:val="2"/>
        </w:numPr>
        <w:spacing w:after="110" w:line="290" w:lineRule="auto"/>
      </w:pPr>
      <w:r>
        <w:rPr>
          <w:b/>
          <w:bCs/>
          <w:color w:val="1F4E3A"/>
          <w:sz w:val="22"/>
          <w:szCs w:val="22"/>
        </w:rPr>
        <w:t xml:space="preserve">Multi-disciplinary professional network: </w:t>
      </w:r>
      <w:r>
        <w:rPr>
          <w:sz w:val="22"/>
          <w:szCs w:val="22"/>
        </w:rPr>
        <w:t>the Center draws on practicing professionals and specialists in law, engineering, public health, development studies, environmental engineering and science, structural engineering, and architecture, ensuring that technical solutions are assessed for legal, social, health, and environmental soundness — not structural performance alone.</w:t>
      </w:r>
    </w:p>
    <w:p w14:paraId="50A3A325" w14:textId="77777777" w:rsidR="005F192C" w:rsidRDefault="0044415A">
      <w:pPr>
        <w:pStyle w:val="ListParagraph"/>
        <w:numPr>
          <w:ilvl w:val="0"/>
          <w:numId w:val="2"/>
        </w:numPr>
        <w:spacing w:after="110" w:line="290" w:lineRule="auto"/>
      </w:pPr>
      <w:r>
        <w:rPr>
          <w:b/>
          <w:bCs/>
          <w:color w:val="1F4E3A"/>
          <w:sz w:val="22"/>
          <w:szCs w:val="22"/>
        </w:rPr>
        <w:t xml:space="preserve">Disaster risk and earth-science expertise: </w:t>
      </w:r>
      <w:r>
        <w:rPr>
          <w:sz w:val="22"/>
          <w:szCs w:val="22"/>
        </w:rPr>
        <w:t xml:space="preserve">specialists in natural hazards and disaster risk management, together with geologists, advise on seismic, slope-stability, and site-suitability considerations relevant to the Center's field programs in the </w:t>
      </w:r>
      <w:proofErr w:type="spellStart"/>
      <w:r>
        <w:rPr>
          <w:sz w:val="22"/>
          <w:szCs w:val="22"/>
        </w:rPr>
        <w:t>Karnali</w:t>
      </w:r>
      <w:proofErr w:type="spellEnd"/>
      <w:r>
        <w:rPr>
          <w:sz w:val="22"/>
          <w:szCs w:val="22"/>
        </w:rPr>
        <w:t xml:space="preserve">, </w:t>
      </w:r>
      <w:proofErr w:type="spellStart"/>
      <w:r>
        <w:rPr>
          <w:sz w:val="22"/>
          <w:szCs w:val="22"/>
        </w:rPr>
        <w:t>Terai</w:t>
      </w:r>
      <w:proofErr w:type="spellEnd"/>
      <w:r>
        <w:rPr>
          <w:sz w:val="22"/>
          <w:szCs w:val="22"/>
        </w:rPr>
        <w:t>, and Upper Mustang regions.</w:t>
      </w:r>
    </w:p>
    <w:p w14:paraId="30B6AB6B" w14:textId="77777777" w:rsidR="005F192C" w:rsidRDefault="0044415A">
      <w:pPr>
        <w:pStyle w:val="ListParagraph"/>
        <w:numPr>
          <w:ilvl w:val="0"/>
          <w:numId w:val="2"/>
        </w:numPr>
        <w:spacing w:after="110" w:line="290" w:lineRule="auto"/>
      </w:pPr>
      <w:r>
        <w:rPr>
          <w:b/>
          <w:bCs/>
          <w:color w:val="1F4E3A"/>
          <w:sz w:val="22"/>
          <w:szCs w:val="22"/>
        </w:rPr>
        <w:t xml:space="preserve">International academic and research collaboration: </w:t>
      </w:r>
      <w:r>
        <w:rPr>
          <w:sz w:val="22"/>
          <w:szCs w:val="22"/>
        </w:rPr>
        <w:t>the Center collaborates with professors and researchers from China, Norway, the United States, and Australia working across relevant technical and policy fields, including some with experience in municipal and county government roles, bringing comparative, international perspective to the Center's local-material research.</w:t>
      </w:r>
    </w:p>
    <w:p w14:paraId="6ADAEDB4" w14:textId="77777777" w:rsidR="005F192C" w:rsidRDefault="0044415A">
      <w:pPr>
        <w:pStyle w:val="ListParagraph"/>
        <w:numPr>
          <w:ilvl w:val="0"/>
          <w:numId w:val="2"/>
        </w:numPr>
        <w:spacing w:after="110" w:line="290" w:lineRule="auto"/>
      </w:pPr>
      <w:r>
        <w:rPr>
          <w:b/>
          <w:bCs/>
          <w:color w:val="1F4E3A"/>
          <w:sz w:val="22"/>
          <w:szCs w:val="22"/>
        </w:rPr>
        <w:t xml:space="preserve">Private-sector consultants: </w:t>
      </w:r>
      <w:r>
        <w:rPr>
          <w:sz w:val="22"/>
          <w:szCs w:val="22"/>
        </w:rPr>
        <w:t>independent engineering, architecture, and development consultants contribute technical review, design support, and field advisory services on a project basis.</w:t>
      </w:r>
    </w:p>
    <w:p w14:paraId="6BDDF751" w14:textId="77777777" w:rsidR="005F192C" w:rsidRDefault="0044415A">
      <w:pPr>
        <w:spacing w:after="140" w:line="300" w:lineRule="auto"/>
        <w:jc w:val="both"/>
      </w:pPr>
      <w:r>
        <w:rPr>
          <w:sz w:val="22"/>
          <w:szCs w:val="22"/>
        </w:rPr>
        <w:t>Together, this network functions as an informal technical advisory structure surrounding the Center's core team — providing peer review, cross-sector perspective, and international benchmarking for each of the field programs described below.</w:t>
      </w:r>
    </w:p>
    <w:p w14:paraId="3D65D20A" w14:textId="77777777" w:rsidR="005F192C" w:rsidRDefault="0044415A">
      <w:pPr>
        <w:pStyle w:val="Heading1"/>
        <w:pBdr>
          <w:bottom w:val="single" w:sz="8" w:space="4" w:color="1F4E3A"/>
        </w:pBdr>
        <w:spacing w:before="320" w:after="140"/>
      </w:pPr>
      <w:r>
        <w:rPr>
          <w:b/>
          <w:bCs/>
          <w:color w:val="1F4E3A"/>
          <w:sz w:val="28"/>
          <w:szCs w:val="28"/>
        </w:rPr>
        <w:t>4. Current Research &amp; Field Programs</w:t>
      </w:r>
    </w:p>
    <w:p w14:paraId="0637ADF7" w14:textId="77777777" w:rsidR="005F192C" w:rsidRDefault="0044415A">
      <w:pPr>
        <w:spacing w:after="140" w:line="300" w:lineRule="auto"/>
        <w:jc w:val="both"/>
      </w:pPr>
      <w:r>
        <w:rPr>
          <w:sz w:val="22"/>
          <w:szCs w:val="22"/>
        </w:rPr>
        <w:t>The Center currently runs five interlinked programs that together span material science, structural testing, heritage documentation, and community-scale construction. Each program is designed to generate transferable, evidence-based knowledge that can be scaled across similar agro-ecological regions of Nepal.</w:t>
      </w:r>
    </w:p>
    <w:p w14:paraId="21199887" w14:textId="77777777" w:rsidR="005F192C" w:rsidRDefault="0044415A">
      <w:pPr>
        <w:pStyle w:val="Heading2"/>
        <w:spacing w:before="220" w:after="100"/>
      </w:pPr>
      <w:r>
        <w:rPr>
          <w:b/>
          <w:bCs/>
          <w:color w:val="8A6D3B"/>
          <w:sz w:val="24"/>
          <w:szCs w:val="24"/>
        </w:rPr>
        <w:t xml:space="preserve">4.1 Lime-Stabilized Soil Roofing — </w:t>
      </w:r>
      <w:proofErr w:type="spellStart"/>
      <w:r>
        <w:rPr>
          <w:b/>
          <w:bCs/>
          <w:color w:val="8A6D3B"/>
          <w:sz w:val="24"/>
          <w:szCs w:val="24"/>
        </w:rPr>
        <w:t>Karnali</w:t>
      </w:r>
      <w:proofErr w:type="spellEnd"/>
      <w:r>
        <w:rPr>
          <w:b/>
          <w:bCs/>
          <w:color w:val="8A6D3B"/>
          <w:sz w:val="24"/>
          <w:szCs w:val="24"/>
        </w:rPr>
        <w:t xml:space="preserve"> Region</w:t>
      </w:r>
    </w:p>
    <w:p w14:paraId="6DFD2491" w14:textId="77777777" w:rsidR="005F192C" w:rsidRDefault="0044415A">
      <w:pPr>
        <w:spacing w:after="140" w:line="300" w:lineRule="auto"/>
        <w:jc w:val="both"/>
      </w:pPr>
      <w:r>
        <w:rPr>
          <w:sz w:val="22"/>
          <w:szCs w:val="22"/>
        </w:rPr>
        <w:t xml:space="preserve">In the </w:t>
      </w:r>
      <w:proofErr w:type="spellStart"/>
      <w:r>
        <w:rPr>
          <w:sz w:val="22"/>
          <w:szCs w:val="22"/>
        </w:rPr>
        <w:t>Karnali</w:t>
      </w:r>
      <w:proofErr w:type="spellEnd"/>
      <w:r>
        <w:rPr>
          <w:sz w:val="22"/>
          <w:szCs w:val="22"/>
        </w:rPr>
        <w:t xml:space="preserve"> region, where cement and steel roofing sheets are costly to transport and thermally uncomfortable, the Center is developing a lime-stabilized soil roofing system as a locally producible, thermally efficient, and low-carbon alternative for household roofing. The work covers soil-lime mix design, curing behavior in </w:t>
      </w:r>
      <w:proofErr w:type="spellStart"/>
      <w:r>
        <w:rPr>
          <w:sz w:val="22"/>
          <w:szCs w:val="22"/>
        </w:rPr>
        <w:t>Karnali’s</w:t>
      </w:r>
      <w:proofErr w:type="spellEnd"/>
      <w:r>
        <w:rPr>
          <w:sz w:val="22"/>
          <w:szCs w:val="22"/>
        </w:rPr>
        <w:t xml:space="preserve"> climate, waterproofing performance through the monsoon, and cost comparison against conventional CGI (corrugated galvanized iron) roofing, with the aim of producing a replicable c</w:t>
      </w:r>
      <w:r>
        <w:rPr>
          <w:sz w:val="22"/>
          <w:szCs w:val="22"/>
        </w:rPr>
        <w:t>onstruction guideline for local masons.</w:t>
      </w:r>
    </w:p>
    <w:p w14:paraId="2370D15A" w14:textId="77777777" w:rsidR="005F192C" w:rsidRDefault="0044415A">
      <w:pPr>
        <w:pStyle w:val="Heading2"/>
        <w:spacing w:before="220" w:after="100"/>
      </w:pPr>
      <w:r>
        <w:rPr>
          <w:b/>
          <w:bCs/>
          <w:color w:val="8A6D3B"/>
          <w:sz w:val="24"/>
          <w:szCs w:val="24"/>
        </w:rPr>
        <w:t xml:space="preserve">4.2 Bamboo–Lime Composite Wall Panels — </w:t>
      </w:r>
      <w:proofErr w:type="spellStart"/>
      <w:r>
        <w:rPr>
          <w:b/>
          <w:bCs/>
          <w:color w:val="8A6D3B"/>
          <w:sz w:val="24"/>
          <w:szCs w:val="24"/>
        </w:rPr>
        <w:t>Terai</w:t>
      </w:r>
      <w:proofErr w:type="spellEnd"/>
      <w:r>
        <w:rPr>
          <w:b/>
          <w:bCs/>
          <w:color w:val="8A6D3B"/>
          <w:sz w:val="24"/>
          <w:szCs w:val="24"/>
        </w:rPr>
        <w:t xml:space="preserve"> Region</w:t>
      </w:r>
    </w:p>
    <w:p w14:paraId="3A1C3B25" w14:textId="77777777" w:rsidR="005F192C" w:rsidRDefault="0044415A">
      <w:pPr>
        <w:spacing w:after="140" w:line="300" w:lineRule="auto"/>
        <w:jc w:val="both"/>
      </w:pPr>
      <w:r>
        <w:rPr>
          <w:sz w:val="22"/>
          <w:szCs w:val="22"/>
        </w:rPr>
        <w:t xml:space="preserve">For the </w:t>
      </w:r>
      <w:proofErr w:type="spellStart"/>
      <w:r>
        <w:rPr>
          <w:sz w:val="22"/>
          <w:szCs w:val="22"/>
        </w:rPr>
        <w:t>Terai</w:t>
      </w:r>
      <w:proofErr w:type="spellEnd"/>
      <w:r>
        <w:rPr>
          <w:sz w:val="22"/>
          <w:szCs w:val="22"/>
        </w:rPr>
        <w:t xml:space="preserve"> plains, the Center is developing prefabricated wall panel systems combining bamboo framing with lime-based infill/plaster, aimed at reducing dependence on fired brick and cement block masonry. The program tests panel strength, thermal performance, moisture resistance, and pest resistance, with a view to producing a panelized wall system that local carpenters and masons can build and repair using regionally available bamboo and lime.</w:t>
      </w:r>
    </w:p>
    <w:p w14:paraId="6815BEEC" w14:textId="77777777" w:rsidR="005F192C" w:rsidRDefault="0044415A">
      <w:pPr>
        <w:pStyle w:val="Heading2"/>
        <w:spacing w:before="220" w:after="100"/>
      </w:pPr>
      <w:r>
        <w:rPr>
          <w:b/>
          <w:bCs/>
          <w:color w:val="8A6D3B"/>
          <w:sz w:val="24"/>
          <w:szCs w:val="24"/>
        </w:rPr>
        <w:t>4.3 Vernacular Architecture Study — Upper Mustang</w:t>
      </w:r>
    </w:p>
    <w:p w14:paraId="254A64B0" w14:textId="77777777" w:rsidR="005F192C" w:rsidRDefault="0044415A">
      <w:pPr>
        <w:spacing w:after="140" w:line="300" w:lineRule="auto"/>
        <w:jc w:val="both"/>
      </w:pPr>
      <w:r>
        <w:rPr>
          <w:sz w:val="22"/>
          <w:szCs w:val="22"/>
        </w:rPr>
        <w:t xml:space="preserve">This program documents traditional Upper Mustang buildings — their form, materials, load paths, and adaptation to a cold, arid, seismically active environment — to understand why these structures have remained stable for generations. The study combines architectural surveying, structural assessment, and interviews with local builders, and feeds directly into conservation guidance for existing heritage structures as well as design principles for new construction that respects both structural performance and </w:t>
      </w:r>
      <w:r>
        <w:rPr>
          <w:sz w:val="22"/>
          <w:szCs w:val="22"/>
        </w:rPr>
        <w:t>cultural identity.</w:t>
      </w:r>
    </w:p>
    <w:p w14:paraId="32057E91" w14:textId="77777777" w:rsidR="005F192C" w:rsidRDefault="0044415A">
      <w:pPr>
        <w:pStyle w:val="Heading2"/>
        <w:spacing w:before="220" w:after="100"/>
      </w:pPr>
      <w:r>
        <w:rPr>
          <w:b/>
          <w:bCs/>
          <w:color w:val="8A6D3B"/>
          <w:sz w:val="24"/>
          <w:szCs w:val="24"/>
        </w:rPr>
        <w:t>4.4 Mortar &amp; Bond-Strength Testing for Reinforced Stone Masonry</w:t>
      </w:r>
    </w:p>
    <w:p w14:paraId="17D55739" w14:textId="77777777" w:rsidR="005F192C" w:rsidRDefault="0044415A">
      <w:pPr>
        <w:spacing w:after="140" w:line="300" w:lineRule="auto"/>
        <w:jc w:val="both"/>
      </w:pPr>
      <w:r>
        <w:rPr>
          <w:sz w:val="22"/>
          <w:szCs w:val="22"/>
        </w:rPr>
        <w:t xml:space="preserve">A dedicated laboratory and field-testing program is comparing mud mortar against cement mortar in reinforced stone masonry assemblies, measuring bond strength, shear capacity, and durability under repeated loading. This research directly informs whether, and under what conditions, traditional mud-mortared stone masonry — reinforced with modern detailing — can meet acceptable safety benchmarks as a lower-cost, lower-carbon alternative to cement-based construction, particularly for rural housing and retrofit </w:t>
      </w:r>
      <w:r>
        <w:rPr>
          <w:sz w:val="22"/>
          <w:szCs w:val="22"/>
        </w:rPr>
        <w:t>work.</w:t>
      </w:r>
    </w:p>
    <w:p w14:paraId="6E7FD150" w14:textId="77777777" w:rsidR="005F192C" w:rsidRDefault="0044415A">
      <w:pPr>
        <w:pStyle w:val="Heading2"/>
        <w:spacing w:before="220" w:after="100"/>
      </w:pPr>
      <w:r>
        <w:rPr>
          <w:b/>
          <w:bCs/>
          <w:color w:val="8A6D3B"/>
          <w:sz w:val="24"/>
          <w:szCs w:val="24"/>
        </w:rPr>
        <w:t>4.5 Bamboo Construction for Schools &amp; Housing</w:t>
      </w:r>
    </w:p>
    <w:p w14:paraId="388DDF53" w14:textId="77777777" w:rsidR="005F192C" w:rsidRDefault="0044415A">
      <w:pPr>
        <w:spacing w:after="140" w:line="300" w:lineRule="auto"/>
        <w:jc w:val="both"/>
      </w:pPr>
      <w:r>
        <w:rPr>
          <w:sz w:val="22"/>
          <w:szCs w:val="22"/>
        </w:rPr>
        <w:t xml:space="preserve">The Center has applied its bamboo research directly in the field, including a bamboo structural system built for </w:t>
      </w:r>
      <w:proofErr w:type="spellStart"/>
      <w:r>
        <w:rPr>
          <w:sz w:val="22"/>
          <w:szCs w:val="22"/>
        </w:rPr>
        <w:t>Kundalini</w:t>
      </w:r>
      <w:proofErr w:type="spellEnd"/>
      <w:r>
        <w:rPr>
          <w:sz w:val="22"/>
          <w:szCs w:val="22"/>
        </w:rPr>
        <w:t xml:space="preserve"> School in </w:t>
      </w:r>
      <w:proofErr w:type="spellStart"/>
      <w:r>
        <w:rPr>
          <w:sz w:val="22"/>
          <w:szCs w:val="22"/>
        </w:rPr>
        <w:t>Sundarijal</w:t>
      </w:r>
      <w:proofErr w:type="spellEnd"/>
      <w:r>
        <w:rPr>
          <w:sz w:val="22"/>
          <w:szCs w:val="22"/>
        </w:rPr>
        <w:t>, alongside similar pilot bamboo housing units. These built projects serve a dual purpose: they are functioning, occupied structures, and they act as living demonstration and monitoring sites where the Center tracks long-term structural performance, durability, and user feedback — evidence that also feeds back into the material and panel research above.</w:t>
      </w:r>
    </w:p>
    <w:p w14:paraId="35BD5755" w14:textId="77777777" w:rsidR="005F192C" w:rsidRDefault="0044415A">
      <w:pPr>
        <w:pStyle w:val="Heading1"/>
        <w:pBdr>
          <w:bottom w:val="single" w:sz="8" w:space="4" w:color="1F4E3A"/>
        </w:pBdr>
        <w:spacing w:before="320" w:after="140"/>
      </w:pPr>
      <w:r>
        <w:rPr>
          <w:b/>
          <w:bCs/>
          <w:color w:val="1F4E3A"/>
          <w:sz w:val="28"/>
          <w:szCs w:val="28"/>
        </w:rPr>
        <w:t>5. Cross-Cutting Impact Themes</w:t>
      </w:r>
    </w:p>
    <w:p w14:paraId="3BCC2C19" w14:textId="77777777" w:rsidR="005F192C" w:rsidRDefault="0044415A">
      <w:pPr>
        <w:pStyle w:val="ListParagraph"/>
        <w:numPr>
          <w:ilvl w:val="0"/>
          <w:numId w:val="2"/>
        </w:numPr>
        <w:spacing w:after="110" w:line="290" w:lineRule="auto"/>
      </w:pPr>
      <w:r>
        <w:rPr>
          <w:b/>
          <w:bCs/>
          <w:color w:val="1F4E3A"/>
          <w:sz w:val="22"/>
          <w:szCs w:val="22"/>
        </w:rPr>
        <w:t xml:space="preserve">Local material &amp; technique preservation: </w:t>
      </w:r>
      <w:r>
        <w:rPr>
          <w:sz w:val="22"/>
          <w:szCs w:val="22"/>
        </w:rPr>
        <w:t>every program is explicitly designed to keep traditional knowledge economically viable, rather than treating it as heritage to be admired but not used.</w:t>
      </w:r>
    </w:p>
    <w:p w14:paraId="22C49B38" w14:textId="77777777" w:rsidR="005F192C" w:rsidRDefault="0044415A">
      <w:pPr>
        <w:pStyle w:val="ListParagraph"/>
        <w:numPr>
          <w:ilvl w:val="0"/>
          <w:numId w:val="2"/>
        </w:numPr>
        <w:spacing w:after="110" w:line="290" w:lineRule="auto"/>
      </w:pPr>
      <w:r>
        <w:rPr>
          <w:b/>
          <w:bCs/>
          <w:color w:val="1F4E3A"/>
          <w:sz w:val="22"/>
          <w:szCs w:val="22"/>
        </w:rPr>
        <w:t xml:space="preserve">Skills &amp; livelihoods: </w:t>
      </w:r>
      <w:r>
        <w:rPr>
          <w:sz w:val="22"/>
          <w:szCs w:val="22"/>
        </w:rPr>
        <w:t>field pilots double as hands-on training for local masons, carpenters, and youth, building a workforce capable of delivering these systems independently.</w:t>
      </w:r>
    </w:p>
    <w:p w14:paraId="6B83688A" w14:textId="77777777" w:rsidR="005F192C" w:rsidRDefault="0044415A">
      <w:pPr>
        <w:pStyle w:val="ListParagraph"/>
        <w:numPr>
          <w:ilvl w:val="0"/>
          <w:numId w:val="2"/>
        </w:numPr>
        <w:spacing w:after="110" w:line="290" w:lineRule="auto"/>
      </w:pPr>
      <w:r>
        <w:rPr>
          <w:b/>
          <w:bCs/>
          <w:color w:val="1F4E3A"/>
          <w:sz w:val="22"/>
          <w:szCs w:val="22"/>
        </w:rPr>
        <w:t xml:space="preserve">Gender-friendly infrastructure: </w:t>
      </w:r>
      <w:r>
        <w:rPr>
          <w:sz w:val="22"/>
          <w:szCs w:val="22"/>
        </w:rPr>
        <w:t>housing and public-building designs are reviewed for safety, accessibility, and usability from a gender-inclusive lens, and training programs are structured to actively include women builders and tradespeople.</w:t>
      </w:r>
    </w:p>
    <w:p w14:paraId="2B4E74FD" w14:textId="77777777" w:rsidR="005F192C" w:rsidRDefault="0044415A">
      <w:pPr>
        <w:pStyle w:val="ListParagraph"/>
        <w:numPr>
          <w:ilvl w:val="0"/>
          <w:numId w:val="2"/>
        </w:numPr>
        <w:spacing w:after="110" w:line="290" w:lineRule="auto"/>
      </w:pPr>
      <w:r>
        <w:rPr>
          <w:b/>
          <w:bCs/>
          <w:color w:val="1F4E3A"/>
          <w:sz w:val="22"/>
          <w:szCs w:val="22"/>
        </w:rPr>
        <w:t xml:space="preserve">Local economic development: </w:t>
      </w:r>
      <w:r>
        <w:rPr>
          <w:sz w:val="22"/>
          <w:szCs w:val="22"/>
        </w:rPr>
        <w:t>by substituting imported materials with regionally sourced lime, mud, stone, and bamboo, the programs aim to keep construction spending circulating within local economies.</w:t>
      </w:r>
    </w:p>
    <w:p w14:paraId="7BEAD550" w14:textId="77777777" w:rsidR="005F192C" w:rsidRDefault="0044415A">
      <w:pPr>
        <w:pStyle w:val="Heading1"/>
        <w:pBdr>
          <w:bottom w:val="single" w:sz="8" w:space="4" w:color="1F4E3A"/>
        </w:pBdr>
        <w:spacing w:before="320" w:after="140"/>
      </w:pPr>
      <w:r>
        <w:rPr>
          <w:b/>
          <w:bCs/>
          <w:color w:val="1F4E3A"/>
          <w:sz w:val="28"/>
          <w:szCs w:val="28"/>
        </w:rPr>
        <w:t>6. Future Plans &amp; Objectives</w:t>
      </w:r>
    </w:p>
    <w:p w14:paraId="7B06623C" w14:textId="77777777" w:rsidR="005F192C" w:rsidRDefault="0044415A">
      <w:pPr>
        <w:pStyle w:val="ListParagraph"/>
        <w:numPr>
          <w:ilvl w:val="0"/>
          <w:numId w:val="2"/>
        </w:numPr>
        <w:spacing w:after="110" w:line="290" w:lineRule="auto"/>
      </w:pPr>
      <w:r>
        <w:rPr>
          <w:b/>
          <w:bCs/>
          <w:color w:val="1F4E3A"/>
          <w:sz w:val="22"/>
          <w:szCs w:val="22"/>
        </w:rPr>
        <w:t xml:space="preserve">Scale-up of validated systems: </w:t>
      </w:r>
      <w:r>
        <w:rPr>
          <w:sz w:val="22"/>
          <w:szCs w:val="22"/>
        </w:rPr>
        <w:t xml:space="preserve">move the </w:t>
      </w:r>
      <w:proofErr w:type="spellStart"/>
      <w:r>
        <w:rPr>
          <w:sz w:val="22"/>
          <w:szCs w:val="22"/>
        </w:rPr>
        <w:t>Karnali</w:t>
      </w:r>
      <w:proofErr w:type="spellEnd"/>
      <w:r>
        <w:rPr>
          <w:sz w:val="22"/>
          <w:szCs w:val="22"/>
        </w:rPr>
        <w:t xml:space="preserve"> lime-soil roofing and </w:t>
      </w:r>
      <w:proofErr w:type="spellStart"/>
      <w:r>
        <w:rPr>
          <w:sz w:val="22"/>
          <w:szCs w:val="22"/>
        </w:rPr>
        <w:t>Terai</w:t>
      </w:r>
      <w:proofErr w:type="spellEnd"/>
      <w:r>
        <w:rPr>
          <w:sz w:val="22"/>
          <w:szCs w:val="22"/>
        </w:rPr>
        <w:t xml:space="preserve"> bamboo-lime panel systems from pilot to multi-household deployment, with trained local contractor groups in each region.</w:t>
      </w:r>
    </w:p>
    <w:p w14:paraId="3EF38185" w14:textId="77777777" w:rsidR="005F192C" w:rsidRDefault="0044415A">
      <w:pPr>
        <w:pStyle w:val="ListParagraph"/>
        <w:numPr>
          <w:ilvl w:val="0"/>
          <w:numId w:val="2"/>
        </w:numPr>
        <w:spacing w:after="110" w:line="290" w:lineRule="auto"/>
      </w:pPr>
      <w:r>
        <w:rPr>
          <w:b/>
          <w:bCs/>
          <w:color w:val="1F4E3A"/>
          <w:sz w:val="22"/>
          <w:szCs w:val="22"/>
        </w:rPr>
        <w:t xml:space="preserve">Codified guidelines: </w:t>
      </w:r>
      <w:r>
        <w:rPr>
          <w:sz w:val="22"/>
          <w:szCs w:val="22"/>
        </w:rPr>
        <w:t>publish practical construction and quality-control guidelines for mud–cement comparative mortar use in reinforced stone masonry, targeted at rural municipalities and NGOs engaged in post-disaster reconstruction.</w:t>
      </w:r>
    </w:p>
    <w:p w14:paraId="1EBCB08C" w14:textId="77777777" w:rsidR="005F192C" w:rsidRDefault="0044415A">
      <w:pPr>
        <w:pStyle w:val="ListParagraph"/>
        <w:numPr>
          <w:ilvl w:val="0"/>
          <w:numId w:val="2"/>
        </w:numPr>
        <w:spacing w:after="110" w:line="290" w:lineRule="auto"/>
      </w:pPr>
      <w:r>
        <w:rPr>
          <w:b/>
          <w:bCs/>
          <w:color w:val="1F4E3A"/>
          <w:sz w:val="22"/>
          <w:szCs w:val="22"/>
        </w:rPr>
        <w:t xml:space="preserve">Heritage-linked tourism and conservation: </w:t>
      </w:r>
      <w:r>
        <w:rPr>
          <w:sz w:val="22"/>
          <w:szCs w:val="22"/>
        </w:rPr>
        <w:t>translate the Upper Mustang vernacular study into a conservation and adaptive-reuse framework that can support both structural safety upgrades and heritage tourism livelihoods.</w:t>
      </w:r>
    </w:p>
    <w:p w14:paraId="47CDAD8C" w14:textId="77777777" w:rsidR="005F192C" w:rsidRDefault="0044415A">
      <w:pPr>
        <w:pStyle w:val="ListParagraph"/>
        <w:numPr>
          <w:ilvl w:val="0"/>
          <w:numId w:val="2"/>
        </w:numPr>
        <w:spacing w:after="110" w:line="290" w:lineRule="auto"/>
      </w:pPr>
      <w:r>
        <w:rPr>
          <w:b/>
          <w:bCs/>
          <w:color w:val="1F4E3A"/>
          <w:sz w:val="22"/>
          <w:szCs w:val="22"/>
        </w:rPr>
        <w:t xml:space="preserve">Expanded school and public-building pilots: </w:t>
      </w:r>
      <w:r>
        <w:rPr>
          <w:sz w:val="22"/>
          <w:szCs w:val="22"/>
        </w:rPr>
        <w:t xml:space="preserve">replicate the </w:t>
      </w:r>
      <w:proofErr w:type="spellStart"/>
      <w:r>
        <w:rPr>
          <w:sz w:val="22"/>
          <w:szCs w:val="22"/>
        </w:rPr>
        <w:t>Kundalini</w:t>
      </w:r>
      <w:proofErr w:type="spellEnd"/>
      <w:r>
        <w:rPr>
          <w:sz w:val="22"/>
          <w:szCs w:val="22"/>
        </w:rPr>
        <w:t xml:space="preserve"> School bamboo model in additional communities, with structural monitoring built in from design stage.</w:t>
      </w:r>
    </w:p>
    <w:p w14:paraId="3887A0A9" w14:textId="77777777" w:rsidR="005F192C" w:rsidRDefault="0044415A">
      <w:pPr>
        <w:pStyle w:val="ListParagraph"/>
        <w:numPr>
          <w:ilvl w:val="0"/>
          <w:numId w:val="2"/>
        </w:numPr>
        <w:spacing w:after="110" w:line="290" w:lineRule="auto"/>
      </w:pPr>
      <w:r>
        <w:rPr>
          <w:b/>
          <w:bCs/>
          <w:color w:val="1F4E3A"/>
          <w:sz w:val="22"/>
          <w:szCs w:val="22"/>
        </w:rPr>
        <w:t xml:space="preserve">Regional material testing labs: </w:t>
      </w:r>
      <w:r>
        <w:rPr>
          <w:sz w:val="22"/>
          <w:szCs w:val="22"/>
        </w:rPr>
        <w:t>establish decentralized, low-cost testing capability (bond strength, compressive strength, durability) so that material validation does not remain centralized in Kathmandu alone.</w:t>
      </w:r>
    </w:p>
    <w:p w14:paraId="462B5434" w14:textId="77777777" w:rsidR="005F192C" w:rsidRDefault="0044415A">
      <w:pPr>
        <w:pStyle w:val="ListParagraph"/>
        <w:numPr>
          <w:ilvl w:val="0"/>
          <w:numId w:val="2"/>
        </w:numPr>
        <w:spacing w:after="110" w:line="290" w:lineRule="auto"/>
      </w:pPr>
      <w:r>
        <w:rPr>
          <w:b/>
          <w:bCs/>
          <w:color w:val="1F4E3A"/>
          <w:sz w:val="22"/>
          <w:szCs w:val="22"/>
        </w:rPr>
        <w:t xml:space="preserve">Gender and inclusion benchmarks: </w:t>
      </w:r>
      <w:r>
        <w:rPr>
          <w:sz w:val="22"/>
          <w:szCs w:val="22"/>
        </w:rPr>
        <w:t>formalize measurable targets for women’s participation in training programs and construction crews across all field projects.</w:t>
      </w:r>
    </w:p>
    <w:p w14:paraId="074A1C72" w14:textId="77777777" w:rsidR="005F192C" w:rsidRDefault="0044415A">
      <w:pPr>
        <w:pStyle w:val="Heading1"/>
        <w:pBdr>
          <w:bottom w:val="single" w:sz="8" w:space="4" w:color="1F4E3A"/>
        </w:pBdr>
        <w:spacing w:before="320" w:after="140"/>
      </w:pPr>
      <w:r>
        <w:rPr>
          <w:b/>
          <w:bCs/>
          <w:color w:val="1F4E3A"/>
          <w:sz w:val="28"/>
          <w:szCs w:val="28"/>
        </w:rPr>
        <w:t>7. Scope of Work for Stakeholders &amp; Investors</w:t>
      </w:r>
    </w:p>
    <w:p w14:paraId="4131F4D1" w14:textId="77777777" w:rsidR="005F192C" w:rsidRDefault="0044415A">
      <w:pPr>
        <w:spacing w:after="140" w:line="300" w:lineRule="auto"/>
        <w:jc w:val="both"/>
      </w:pPr>
      <w:r>
        <w:rPr>
          <w:sz w:val="22"/>
          <w:szCs w:val="22"/>
        </w:rPr>
        <w:t>The Center is seeking partnerships, technical collaboration, and funding support to move its current pilots into scaled, replicable programs. Specific areas open for discussion include:</w:t>
      </w:r>
    </w:p>
    <w:p w14:paraId="3489C0A1" w14:textId="77777777" w:rsidR="005F192C" w:rsidRDefault="0044415A">
      <w:pPr>
        <w:pStyle w:val="ListParagraph"/>
        <w:numPr>
          <w:ilvl w:val="0"/>
          <w:numId w:val="2"/>
        </w:numPr>
        <w:spacing w:after="90" w:line="290" w:lineRule="auto"/>
      </w:pPr>
      <w:r>
        <w:rPr>
          <w:sz w:val="22"/>
          <w:szCs w:val="22"/>
        </w:rPr>
        <w:t xml:space="preserve">Co-funding or grant support for scale-up of the </w:t>
      </w:r>
      <w:proofErr w:type="spellStart"/>
      <w:r>
        <w:rPr>
          <w:sz w:val="22"/>
          <w:szCs w:val="22"/>
        </w:rPr>
        <w:t>Karnali</w:t>
      </w:r>
      <w:proofErr w:type="spellEnd"/>
      <w:r>
        <w:rPr>
          <w:sz w:val="22"/>
          <w:szCs w:val="22"/>
        </w:rPr>
        <w:t xml:space="preserve"> lime-soil roofing and </w:t>
      </w:r>
      <w:proofErr w:type="spellStart"/>
      <w:r>
        <w:rPr>
          <w:sz w:val="22"/>
          <w:szCs w:val="22"/>
        </w:rPr>
        <w:t>Terai</w:t>
      </w:r>
      <w:proofErr w:type="spellEnd"/>
      <w:r>
        <w:rPr>
          <w:sz w:val="22"/>
          <w:szCs w:val="22"/>
        </w:rPr>
        <w:t xml:space="preserve"> bamboo-lime wall panel programs.</w:t>
      </w:r>
    </w:p>
    <w:p w14:paraId="23AFBE00" w14:textId="77777777" w:rsidR="005F192C" w:rsidRDefault="0044415A">
      <w:pPr>
        <w:pStyle w:val="ListParagraph"/>
        <w:numPr>
          <w:ilvl w:val="0"/>
          <w:numId w:val="2"/>
        </w:numPr>
        <w:spacing w:after="90" w:line="290" w:lineRule="auto"/>
      </w:pPr>
      <w:r>
        <w:rPr>
          <w:sz w:val="22"/>
          <w:szCs w:val="22"/>
        </w:rPr>
        <w:t>Laboratory and testing partnerships (universities, materials-testing labs) to expand the mud/cement mortar bond-strength research.</w:t>
      </w:r>
    </w:p>
    <w:p w14:paraId="2818D3DA" w14:textId="77777777" w:rsidR="005F192C" w:rsidRDefault="0044415A">
      <w:pPr>
        <w:pStyle w:val="ListParagraph"/>
        <w:numPr>
          <w:ilvl w:val="0"/>
          <w:numId w:val="2"/>
        </w:numPr>
        <w:spacing w:after="90" w:line="290" w:lineRule="auto"/>
      </w:pPr>
      <w:r>
        <w:rPr>
          <w:sz w:val="22"/>
          <w:szCs w:val="22"/>
        </w:rPr>
        <w:t>Support for establishing regional/decentralized material-testing facilities.</w:t>
      </w:r>
    </w:p>
    <w:p w14:paraId="5B842178" w14:textId="77777777" w:rsidR="005F192C" w:rsidRDefault="0044415A">
      <w:pPr>
        <w:pStyle w:val="ListParagraph"/>
        <w:numPr>
          <w:ilvl w:val="0"/>
          <w:numId w:val="2"/>
        </w:numPr>
        <w:spacing w:after="90" w:line="290" w:lineRule="auto"/>
      </w:pPr>
      <w:r>
        <w:rPr>
          <w:sz w:val="22"/>
          <w:szCs w:val="22"/>
        </w:rPr>
        <w:t>Partnership with municipalities, INGOs, or reconstruction agencies to pilot codified guidelines in post-disaster housing programs.</w:t>
      </w:r>
    </w:p>
    <w:p w14:paraId="7704D92C" w14:textId="77777777" w:rsidR="005F192C" w:rsidRDefault="0044415A">
      <w:pPr>
        <w:pStyle w:val="ListParagraph"/>
        <w:numPr>
          <w:ilvl w:val="0"/>
          <w:numId w:val="2"/>
        </w:numPr>
        <w:spacing w:after="90" w:line="290" w:lineRule="auto"/>
      </w:pPr>
      <w:r>
        <w:rPr>
          <w:sz w:val="22"/>
          <w:szCs w:val="22"/>
        </w:rPr>
        <w:t>Heritage and tourism-sector collaboration around the Upper Mustang vernacular architecture documentation and conservation framework.</w:t>
      </w:r>
    </w:p>
    <w:p w14:paraId="100C725C" w14:textId="77777777" w:rsidR="005F192C" w:rsidRDefault="0044415A">
      <w:pPr>
        <w:pStyle w:val="ListParagraph"/>
        <w:numPr>
          <w:ilvl w:val="0"/>
          <w:numId w:val="2"/>
        </w:numPr>
        <w:spacing w:after="90" w:line="290" w:lineRule="auto"/>
      </w:pPr>
      <w:r>
        <w:rPr>
          <w:sz w:val="22"/>
          <w:szCs w:val="22"/>
        </w:rPr>
        <w:t>Support for expanding bamboo school/housing construction, including structural monitoring and impact evaluation.</w:t>
      </w:r>
    </w:p>
    <w:p w14:paraId="488BF330" w14:textId="77777777" w:rsidR="005F192C" w:rsidRDefault="0044415A">
      <w:pPr>
        <w:pStyle w:val="ListParagraph"/>
        <w:numPr>
          <w:ilvl w:val="0"/>
          <w:numId w:val="2"/>
        </w:numPr>
        <w:spacing w:after="90" w:line="290" w:lineRule="auto"/>
      </w:pPr>
      <w:r>
        <w:rPr>
          <w:sz w:val="22"/>
          <w:szCs w:val="22"/>
        </w:rPr>
        <w:t>Skills-training and livelihood partnerships focused on women and marginalized-community participation in construction trades.</w:t>
      </w:r>
    </w:p>
    <w:p w14:paraId="3BFD4205" w14:textId="77777777" w:rsidR="005F192C" w:rsidRDefault="0044415A">
      <w:pPr>
        <w:spacing w:after="140" w:line="300" w:lineRule="auto"/>
        <w:jc w:val="both"/>
      </w:pPr>
      <w:r>
        <w:rPr>
          <w:sz w:val="22"/>
          <w:szCs w:val="22"/>
        </w:rPr>
        <w:t>As a non-profit distributing entity, all funds and in-kind support received are applied solely toward research, training, and construction activities in pursuit of these objectives — with no distribution of profit to members, directors, or staff. We welcome discussions with development partners, impact investors, academic institutions, and government agencies interested in advancing sustainable, locally rooted construction across Nepal.</w:t>
      </w:r>
    </w:p>
    <w:p w14:paraId="7DDA7B86" w14:textId="77777777" w:rsidR="005F192C" w:rsidRDefault="0044415A">
      <w:pPr>
        <w:pBdr>
          <w:top w:val="single" w:sz="6" w:space="6" w:color="CCCCCC"/>
        </w:pBdr>
        <w:spacing w:before="260"/>
      </w:pPr>
      <w:r>
        <w:rPr>
          <w:i/>
          <w:iCs/>
          <w:color w:val="777777"/>
          <w:sz w:val="16"/>
          <w:szCs w:val="16"/>
        </w:rPr>
        <w:t>Nepal Advanced Vision in Innovation and Nano Science Center  |  Registered Office: Ward No. 31, Kathmandu Metropolitan City, Kathmandu, Nepal</w:t>
      </w:r>
    </w:p>
    <w:sectPr w:rsidR="005F192C">
      <w:pgSz w:w="12240" w:h="15840"/>
      <w:pgMar w:top="900" w:right="1080" w:bottom="90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FA4A77"/>
    <w:multiLevelType w:val="hybridMultilevel"/>
    <w:tmpl w:val="FFFFFFFF"/>
    <w:lvl w:ilvl="0" w:tplc="FB44FDA8">
      <w:start w:val="1"/>
      <w:numFmt w:val="bullet"/>
      <w:lvlText w:val="●"/>
      <w:lvlJc w:val="left"/>
      <w:pPr>
        <w:ind w:left="720" w:hanging="360"/>
      </w:pPr>
    </w:lvl>
    <w:lvl w:ilvl="1" w:tplc="C37843FC">
      <w:start w:val="1"/>
      <w:numFmt w:val="bullet"/>
      <w:lvlText w:val="○"/>
      <w:lvlJc w:val="left"/>
      <w:pPr>
        <w:ind w:left="1440" w:hanging="360"/>
      </w:pPr>
    </w:lvl>
    <w:lvl w:ilvl="2" w:tplc="866A2C3E">
      <w:start w:val="1"/>
      <w:numFmt w:val="bullet"/>
      <w:lvlText w:val="■"/>
      <w:lvlJc w:val="left"/>
      <w:pPr>
        <w:ind w:left="2160" w:hanging="360"/>
      </w:pPr>
    </w:lvl>
    <w:lvl w:ilvl="3" w:tplc="D4FA1C7E">
      <w:start w:val="1"/>
      <w:numFmt w:val="bullet"/>
      <w:lvlText w:val="●"/>
      <w:lvlJc w:val="left"/>
      <w:pPr>
        <w:ind w:left="2880" w:hanging="360"/>
      </w:pPr>
    </w:lvl>
    <w:lvl w:ilvl="4" w:tplc="803E4F48">
      <w:start w:val="1"/>
      <w:numFmt w:val="bullet"/>
      <w:lvlText w:val="○"/>
      <w:lvlJc w:val="left"/>
      <w:pPr>
        <w:ind w:left="3600" w:hanging="360"/>
      </w:pPr>
    </w:lvl>
    <w:lvl w:ilvl="5" w:tplc="E9261944">
      <w:start w:val="1"/>
      <w:numFmt w:val="bullet"/>
      <w:lvlText w:val="■"/>
      <w:lvlJc w:val="left"/>
      <w:pPr>
        <w:ind w:left="4320" w:hanging="360"/>
      </w:pPr>
    </w:lvl>
    <w:lvl w:ilvl="6" w:tplc="C1F8E124">
      <w:start w:val="1"/>
      <w:numFmt w:val="bullet"/>
      <w:lvlText w:val="●"/>
      <w:lvlJc w:val="left"/>
      <w:pPr>
        <w:ind w:left="5040" w:hanging="360"/>
      </w:pPr>
    </w:lvl>
    <w:lvl w:ilvl="7" w:tplc="B4468B38">
      <w:start w:val="1"/>
      <w:numFmt w:val="bullet"/>
      <w:lvlText w:val="●"/>
      <w:lvlJc w:val="left"/>
      <w:pPr>
        <w:ind w:left="5760" w:hanging="360"/>
      </w:pPr>
    </w:lvl>
    <w:lvl w:ilvl="8" w:tplc="5148BF32">
      <w:start w:val="1"/>
      <w:numFmt w:val="bullet"/>
      <w:lvlText w:val="●"/>
      <w:lvlJc w:val="left"/>
      <w:pPr>
        <w:ind w:left="6480" w:hanging="360"/>
      </w:pPr>
    </w:lvl>
  </w:abstractNum>
  <w:abstractNum w:abstractNumId="1" w15:restartNumberingAfterBreak="0">
    <w:nsid w:val="682638FE"/>
    <w:multiLevelType w:val="hybridMultilevel"/>
    <w:tmpl w:val="FFFFFFFF"/>
    <w:lvl w:ilvl="0" w:tplc="2CD69602">
      <w:start w:val="1"/>
      <w:numFmt w:val="bullet"/>
      <w:lvlText w:val="•"/>
      <w:lvlJc w:val="left"/>
      <w:pPr>
        <w:ind w:left="504" w:hanging="288"/>
      </w:pPr>
    </w:lvl>
    <w:lvl w:ilvl="1" w:tplc="5EC291A4">
      <w:numFmt w:val="decimal"/>
      <w:lvlText w:val=""/>
      <w:lvlJc w:val="left"/>
    </w:lvl>
    <w:lvl w:ilvl="2" w:tplc="C7CA3B30">
      <w:numFmt w:val="decimal"/>
      <w:lvlText w:val=""/>
      <w:lvlJc w:val="left"/>
    </w:lvl>
    <w:lvl w:ilvl="3" w:tplc="EFC891BE">
      <w:numFmt w:val="decimal"/>
      <w:lvlText w:val=""/>
      <w:lvlJc w:val="left"/>
    </w:lvl>
    <w:lvl w:ilvl="4" w:tplc="AD4834D6">
      <w:numFmt w:val="decimal"/>
      <w:lvlText w:val=""/>
      <w:lvlJc w:val="left"/>
    </w:lvl>
    <w:lvl w:ilvl="5" w:tplc="71EA7DE0">
      <w:numFmt w:val="decimal"/>
      <w:lvlText w:val=""/>
      <w:lvlJc w:val="left"/>
    </w:lvl>
    <w:lvl w:ilvl="6" w:tplc="7AFCA328">
      <w:numFmt w:val="decimal"/>
      <w:lvlText w:val=""/>
      <w:lvlJc w:val="left"/>
    </w:lvl>
    <w:lvl w:ilvl="7" w:tplc="D16CCB1E">
      <w:numFmt w:val="decimal"/>
      <w:lvlText w:val=""/>
      <w:lvlJc w:val="left"/>
    </w:lvl>
    <w:lvl w:ilvl="8" w:tplc="CC6E49A6">
      <w:numFmt w:val="decimal"/>
      <w:lvlText w:val=""/>
      <w:lvlJc w:val="left"/>
    </w:lvl>
  </w:abstractNum>
  <w:num w:numId="1" w16cid:durableId="1396929351">
    <w:abstractNumId w:val="0"/>
    <w:lvlOverride w:ilvl="0">
      <w:startOverride w:val="1"/>
    </w:lvlOverride>
  </w:num>
  <w:num w:numId="2" w16cid:durableId="29853429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displayBackgroundShape/>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92C"/>
    <w:rsid w:val="0044415A"/>
    <w:rsid w:val="005F192C"/>
    <w:rsid w:val="009372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5521C9"/>
  <w15:docId w15:val="{5EAD7296-C825-AE42-9B16-81D12213A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1817</Words>
  <Characters>10363</Characters>
  <Application>Microsoft Office Word</Application>
  <DocSecurity>0</DocSecurity>
  <Lines>86</Lines>
  <Paragraphs>24</Paragraphs>
  <ScaleCrop>false</ScaleCrop>
  <Company/>
  <LinksUpToDate>false</LinksUpToDate>
  <CharactersWithSpaces>12156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Arun Paudel</cp:lastModifiedBy>
  <cp:revision>2</cp:revision>
  <dcterms:created xsi:type="dcterms:W3CDTF">2026-08-12T01:20:00Z</dcterms:created>
  <dcterms:modified xsi:type="dcterms:W3CDTF">2026-08-12T01:20:00Z</dcterms:modified>
</cp:coreProperties>
</file>